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C6" w:rsidRPr="0087160A" w:rsidRDefault="00546EC6" w:rsidP="00546EC6">
      <w:pPr>
        <w:jc w:val="center"/>
        <w:rPr>
          <w:b/>
        </w:rPr>
      </w:pPr>
      <w:bookmarkStart w:id="0" w:name="_GoBack"/>
      <w:r w:rsidRPr="0087160A">
        <w:rPr>
          <w:b/>
        </w:rPr>
        <w:t>PERSONAS ATENDIDAS EN FUNCIÓN DEL SEXO (Estandarizado)</w:t>
      </w:r>
    </w:p>
    <w:p w:rsidR="00546EC6" w:rsidRDefault="00546EC6" w:rsidP="00546EC6">
      <w:r w:rsidRPr="009B14FF">
        <w:rPr>
          <w:noProof/>
          <w:lang w:eastAsia="es-ES"/>
        </w:rPr>
        <w:drawing>
          <wp:inline distT="0" distB="0" distL="0" distR="0" wp14:anchorId="084F1AE6" wp14:editId="5DC79DB4">
            <wp:extent cx="2627870" cy="2317012"/>
            <wp:effectExtent l="0" t="0" r="1270" b="762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 xml:space="preserve">     </w:t>
      </w:r>
      <w:r w:rsidRPr="009B14FF">
        <w:rPr>
          <w:noProof/>
          <w:lang w:eastAsia="es-ES"/>
        </w:rPr>
        <w:drawing>
          <wp:inline distT="0" distB="0" distL="0" distR="0" wp14:anchorId="4DF9EC6A" wp14:editId="07EF792D">
            <wp:extent cx="2520538" cy="2308431"/>
            <wp:effectExtent l="0" t="0" r="13335" b="1587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6EC6" w:rsidRDefault="00546EC6" w:rsidP="00546EC6">
      <w:r w:rsidRPr="009B14FF">
        <w:rPr>
          <w:b/>
        </w:rPr>
        <w:t xml:space="preserve">ACOGIDA HERNANI </w:t>
      </w:r>
      <w:r>
        <w:t xml:space="preserve">2020                                            </w:t>
      </w:r>
      <w:r w:rsidRPr="009B14FF">
        <w:rPr>
          <w:b/>
        </w:rPr>
        <w:t>LÍNEA INTENSIVA</w:t>
      </w:r>
      <w:r>
        <w:t xml:space="preserve"> 2007-2016</w:t>
      </w:r>
    </w:p>
    <w:p w:rsidR="00546EC6" w:rsidRDefault="00546EC6" w:rsidP="00546EC6"/>
    <w:p w:rsidR="00546EC6" w:rsidRDefault="00546EC6" w:rsidP="0087160A">
      <w:pPr>
        <w:jc w:val="center"/>
        <w:rPr>
          <w:b/>
        </w:rPr>
      </w:pPr>
    </w:p>
    <w:p w:rsidR="0087160A" w:rsidRPr="0087160A" w:rsidRDefault="0087160A" w:rsidP="0087160A">
      <w:pPr>
        <w:jc w:val="center"/>
        <w:rPr>
          <w:b/>
        </w:rPr>
      </w:pPr>
      <w:r w:rsidRPr="0087160A">
        <w:rPr>
          <w:b/>
        </w:rPr>
        <w:t>D</w:t>
      </w:r>
      <w:r>
        <w:rPr>
          <w:b/>
        </w:rPr>
        <w:t>ISTRIBUCION DE EDADES GLOBAL</w:t>
      </w:r>
    </w:p>
    <w:p w:rsidR="0087160A" w:rsidRDefault="0071137C">
      <w:r w:rsidRPr="0071137C">
        <w:rPr>
          <w:noProof/>
          <w:lang w:eastAsia="es-ES"/>
        </w:rPr>
        <w:drawing>
          <wp:inline distT="0" distB="0" distL="0" distR="0" wp14:anchorId="7EAF0CF2" wp14:editId="48E5D13E">
            <wp:extent cx="5400040" cy="2969895"/>
            <wp:effectExtent l="0" t="0" r="10160" b="19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3801" w:rsidRDefault="007E3801">
      <w:r w:rsidRPr="007E3801">
        <w:rPr>
          <w:b/>
        </w:rPr>
        <w:t>EDAD MEDIA</w:t>
      </w:r>
      <w:r w:rsidR="002B4B9D">
        <w:t xml:space="preserve"> 34,79</w:t>
      </w:r>
    </w:p>
    <w:p w:rsidR="00416DBE" w:rsidRDefault="00416DBE"/>
    <w:p w:rsidR="00546EC6" w:rsidRDefault="00546EC6" w:rsidP="0087160A">
      <w:pPr>
        <w:jc w:val="center"/>
        <w:rPr>
          <w:b/>
        </w:rPr>
      </w:pPr>
    </w:p>
    <w:p w:rsidR="00546EC6" w:rsidRDefault="00546EC6" w:rsidP="0087160A">
      <w:pPr>
        <w:jc w:val="center"/>
        <w:rPr>
          <w:b/>
        </w:rPr>
      </w:pPr>
    </w:p>
    <w:p w:rsidR="00546EC6" w:rsidRDefault="00546EC6" w:rsidP="0087160A">
      <w:pPr>
        <w:jc w:val="center"/>
        <w:rPr>
          <w:b/>
        </w:rPr>
      </w:pPr>
    </w:p>
    <w:p w:rsidR="00546EC6" w:rsidRDefault="00546EC6" w:rsidP="0087160A">
      <w:pPr>
        <w:jc w:val="center"/>
        <w:rPr>
          <w:b/>
        </w:rPr>
      </w:pPr>
    </w:p>
    <w:p w:rsidR="00546EC6" w:rsidRDefault="00546EC6" w:rsidP="0087160A">
      <w:pPr>
        <w:jc w:val="center"/>
        <w:rPr>
          <w:b/>
        </w:rPr>
      </w:pPr>
    </w:p>
    <w:p w:rsidR="00416DBE" w:rsidRPr="0087160A" w:rsidRDefault="0087160A" w:rsidP="0087160A">
      <w:pPr>
        <w:jc w:val="center"/>
        <w:rPr>
          <w:b/>
        </w:rPr>
      </w:pPr>
      <w:r w:rsidRPr="0087160A">
        <w:rPr>
          <w:b/>
        </w:rPr>
        <w:lastRenderedPageBreak/>
        <w:t>DISTRIBUCION DE EDADES POR SEXO (Estandarizado)</w:t>
      </w:r>
    </w:p>
    <w:p w:rsidR="007E3801" w:rsidRDefault="00FE4132">
      <w:r w:rsidRPr="00FE4132">
        <w:rPr>
          <w:noProof/>
          <w:lang w:eastAsia="es-ES"/>
        </w:rPr>
        <w:drawing>
          <wp:inline distT="0" distB="0" distL="0" distR="0" wp14:anchorId="5169828A" wp14:editId="35AAB8DD">
            <wp:extent cx="5400040" cy="2969895"/>
            <wp:effectExtent l="0" t="0" r="10160" b="19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4FF" w:rsidRDefault="00416DBE">
      <w:r w:rsidRPr="00416DBE">
        <w:rPr>
          <w:b/>
        </w:rPr>
        <w:t>EDAD MEDIA MUJERES</w:t>
      </w:r>
      <w:r w:rsidR="002B4B9D">
        <w:t xml:space="preserve"> 38,12</w:t>
      </w:r>
      <w:r>
        <w:t xml:space="preserve">   </w:t>
      </w:r>
      <w:r w:rsidRPr="00416DBE">
        <w:rPr>
          <w:b/>
        </w:rPr>
        <w:t>EDAD MEDIA HOMBRES</w:t>
      </w:r>
      <w:r>
        <w:t xml:space="preserve">  </w:t>
      </w:r>
      <w:r w:rsidR="002B4B9D">
        <w:t>33,64</w:t>
      </w:r>
    </w:p>
    <w:p w:rsidR="0087160A" w:rsidRDefault="0087160A"/>
    <w:p w:rsidR="0087160A" w:rsidRDefault="0087160A"/>
    <w:p w:rsidR="0087160A" w:rsidRPr="0087160A" w:rsidRDefault="0087160A" w:rsidP="0087160A">
      <w:pPr>
        <w:jc w:val="center"/>
        <w:rPr>
          <w:b/>
        </w:rPr>
      </w:pPr>
      <w:r>
        <w:rPr>
          <w:b/>
        </w:rPr>
        <w:t>SUBSTANCIA PRINCIPAL GLOBAL</w:t>
      </w:r>
    </w:p>
    <w:p w:rsidR="0087160A" w:rsidRDefault="0087160A">
      <w:r w:rsidRPr="0087160A">
        <w:drawing>
          <wp:inline distT="0" distB="0" distL="0" distR="0" wp14:anchorId="2B903A4F" wp14:editId="5719BC65">
            <wp:extent cx="5453448" cy="3319849"/>
            <wp:effectExtent l="0" t="0" r="13970" b="1397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160A" w:rsidRDefault="0087160A"/>
    <w:p w:rsidR="0087160A" w:rsidRDefault="0087160A"/>
    <w:p w:rsidR="0087160A" w:rsidRDefault="0087160A"/>
    <w:p w:rsidR="0087160A" w:rsidRDefault="0087160A"/>
    <w:p w:rsidR="0087160A" w:rsidRDefault="0087160A"/>
    <w:p w:rsidR="0087160A" w:rsidRDefault="0087160A"/>
    <w:p w:rsidR="0087160A" w:rsidRDefault="0087160A"/>
    <w:p w:rsidR="0087160A" w:rsidRDefault="0087160A"/>
    <w:p w:rsidR="0087160A" w:rsidRDefault="0087160A" w:rsidP="0087160A"/>
    <w:p w:rsidR="0087160A" w:rsidRPr="0087160A" w:rsidRDefault="0087160A" w:rsidP="0087160A">
      <w:pPr>
        <w:jc w:val="center"/>
        <w:rPr>
          <w:b/>
        </w:rPr>
      </w:pPr>
      <w:r>
        <w:rPr>
          <w:b/>
        </w:rPr>
        <w:t>SUBSTANCIA PRINCIPAL</w:t>
      </w:r>
      <w:r>
        <w:rPr>
          <w:b/>
        </w:rPr>
        <w:t>.</w:t>
      </w:r>
      <w:r>
        <w:rPr>
          <w:b/>
        </w:rPr>
        <w:t xml:space="preserve"> DISTRIBUCION </w:t>
      </w:r>
      <w:r w:rsidRPr="0087160A">
        <w:rPr>
          <w:b/>
        </w:rPr>
        <w:t xml:space="preserve"> POR SEXO (Estandarizado)</w:t>
      </w:r>
    </w:p>
    <w:p w:rsidR="0087160A" w:rsidRDefault="0087160A">
      <w:r w:rsidRPr="0087160A">
        <w:drawing>
          <wp:inline distT="0" distB="0" distL="0" distR="0" wp14:anchorId="1046D992" wp14:editId="310AAAE7">
            <wp:extent cx="5379308" cy="3212757"/>
            <wp:effectExtent l="0" t="0" r="12065" b="698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160A" w:rsidRDefault="0087160A"/>
    <w:bookmarkEnd w:id="0"/>
    <w:p w:rsidR="0087160A" w:rsidRDefault="0087160A"/>
    <w:sectPr w:rsidR="00871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7C"/>
    <w:rsid w:val="000348B6"/>
    <w:rsid w:val="002B4B9D"/>
    <w:rsid w:val="003A7E73"/>
    <w:rsid w:val="00416DBE"/>
    <w:rsid w:val="00422C95"/>
    <w:rsid w:val="00453E3A"/>
    <w:rsid w:val="00546EC6"/>
    <w:rsid w:val="0071137C"/>
    <w:rsid w:val="00756FCD"/>
    <w:rsid w:val="007E3801"/>
    <w:rsid w:val="0087160A"/>
    <w:rsid w:val="009B14FF"/>
    <w:rsid w:val="00B64265"/>
    <w:rsid w:val="00DC1979"/>
    <w:rsid w:val="00FE0E0F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F1D9-3082-4E41-A94F-10BD2CB4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6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3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3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38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8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Distribución</c:v>
                </c:pt>
              </c:strCache>
            </c:strRef>
          </c:tx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effectLst>
                <a:outerShdw dist="50800" dir="5400000" sx="1000" sy="1000" algn="ctr" rotWithShape="0">
                  <a:srgbClr val="000000">
                    <a:alpha val="43137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000"/>
                    </a:pPr>
                    <a:r>
                      <a:rPr lang="en-US" sz="1000"/>
                      <a:t>79,24 %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388361375079445"/>
                  <c:y val="0.15585111893907999"/>
                </c:manualLayout>
              </c:layout>
              <c:tx>
                <c:rich>
                  <a:bodyPr/>
                  <a:lstStyle/>
                  <a:p>
                    <a:pPr>
                      <a:defRPr sz="1000"/>
                    </a:pPr>
                    <a:r>
                      <a:rPr lang="en-US" sz="1000"/>
                      <a:t>20,76 %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0.00%</c:formatCode>
                <c:ptCount val="2"/>
                <c:pt idx="0">
                  <c:v>0.76770000000000005</c:v>
                </c:pt>
                <c:pt idx="1">
                  <c:v>0.23230000000000001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073172402507203"/>
          <c:y val="8.4455725928995699E-3"/>
          <c:w val="0.38225929830303351"/>
          <c:h val="0.30954379057880921"/>
        </c:manualLayout>
      </c:layout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Distribución</c:v>
                </c:pt>
              </c:strCache>
            </c:strRef>
          </c:tx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effectLst>
                <a:outerShdw dist="50800" dir="5400000" sx="1000" sy="1000" algn="ctr" rotWithShape="0">
                  <a:srgbClr val="000000">
                    <a:alpha val="43137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/>
                      <a:t>84,04%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/>
                      <a:t>15,96%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0.00%</c:formatCode>
                <c:ptCount val="2"/>
                <c:pt idx="0">
                  <c:v>0.76770000000000005</c:v>
                </c:pt>
                <c:pt idx="1">
                  <c:v>0.23230000000000001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736159964131456"/>
          <c:y val="1.2359713632769777E-2"/>
          <c:w val="0.35830481507271911"/>
          <c:h val="0.27717835133056784"/>
        </c:manualLayout>
      </c:layout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 sz="1400"/>
              <a:t>  </a:t>
            </a:r>
          </a:p>
        </c:rich>
      </c:tx>
      <c:layout>
        <c:manualLayout>
          <c:xMode val="edge"/>
          <c:yMode val="edge"/>
          <c:x val="0.23466603951081844"/>
          <c:y val="0"/>
        </c:manualLayout>
      </c:layout>
      <c:overlay val="0"/>
    </c:title>
    <c:autoTitleDeleted val="0"/>
    <c:view3D>
      <c:rotX val="0"/>
      <c:rotY val="0"/>
      <c:depthPercent val="100"/>
      <c:rAngAx val="0"/>
      <c:perspective val="0"/>
    </c:view3D>
    <c:floor>
      <c:thickness val="0"/>
    </c:floor>
    <c:sideWall>
      <c:thickness val="0"/>
      <c:spPr>
        <a:solidFill>
          <a:schemeClr val="bg1">
            <a:lumMod val="75000"/>
          </a:schemeClr>
        </a:solidFill>
      </c:spPr>
    </c:sideWall>
    <c:backWall>
      <c:thickness val="0"/>
      <c:spPr>
        <a:solidFill>
          <a:schemeClr val="bg1">
            <a:lumMod val="75000"/>
          </a:schemeClr>
        </a:solidFill>
        <a:effectLst>
          <a:outerShdw blurRad="50800" dist="50800" dir="5400000" algn="ctr" rotWithShape="0">
            <a:schemeClr val="bg1">
              <a:lumMod val="75000"/>
            </a:schemeClr>
          </a:outerShdw>
        </a:effectLst>
      </c:spPr>
    </c:backWall>
    <c:plotArea>
      <c:layout>
        <c:manualLayout>
          <c:layoutTarget val="inner"/>
          <c:xMode val="edge"/>
          <c:yMode val="edge"/>
          <c:x val="7.848867786164547E-2"/>
          <c:y val="0.11020658979526214"/>
          <c:w val="0.83883610798650166"/>
          <c:h val="0.756298955277649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10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Hoja1!$A$2:$A$7</c:f>
              <c:strCache>
                <c:ptCount val="6"/>
                <c:pt idx="0">
                  <c:v>&lt; 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50-60</c:v>
                </c:pt>
                <c:pt idx="5">
                  <c:v>&gt; 60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8.11</c:v>
                </c:pt>
                <c:pt idx="1">
                  <c:v>28.38</c:v>
                </c:pt>
                <c:pt idx="2">
                  <c:v>31.08</c:v>
                </c:pt>
                <c:pt idx="3">
                  <c:v>24.65</c:v>
                </c:pt>
                <c:pt idx="4">
                  <c:v>8.58</c:v>
                </c:pt>
                <c:pt idx="5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83"/>
        <c:shape val="cylinder"/>
        <c:axId val="483026400"/>
        <c:axId val="483029144"/>
        <c:axId val="0"/>
      </c:bar3DChart>
      <c:catAx>
        <c:axId val="48302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s-ES"/>
          </a:p>
        </c:txPr>
        <c:crossAx val="483029144"/>
        <c:crosses val="autoZero"/>
        <c:auto val="1"/>
        <c:lblAlgn val="ctr"/>
        <c:lblOffset val="100"/>
        <c:noMultiLvlLbl val="0"/>
      </c:catAx>
      <c:valAx>
        <c:axId val="483029144"/>
        <c:scaling>
          <c:orientation val="minMax"/>
          <c:max val="50"/>
          <c:min val="0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85000"/>
                </a:schemeClr>
              </a:outerShdw>
            </a:effectLst>
          </c:spPr>
        </c:majorGridlines>
        <c:numFmt formatCode="General\%" sourceLinked="0"/>
        <c:majorTickMark val="out"/>
        <c:minorTickMark val="none"/>
        <c:tickLblPos val="low"/>
        <c:txPr>
          <a:bodyPr/>
          <a:lstStyle/>
          <a:p>
            <a:pPr>
              <a:defRPr sz="1200"/>
            </a:pPr>
            <a:endParaRPr lang="es-ES"/>
          </a:p>
        </c:txPr>
        <c:crossAx val="483026400"/>
        <c:crosses val="autoZero"/>
        <c:crossBetween val="between"/>
        <c:majorUnit val="10"/>
        <c:minorUnit val="1"/>
      </c:valAx>
      <c:spPr>
        <a:noFill/>
        <a:ln w="25402">
          <a:noFill/>
        </a:ln>
      </c:spPr>
    </c:plotArea>
    <c:plotVisOnly val="1"/>
    <c:dispBlanksAs val="gap"/>
    <c:showDLblsOverMax val="0"/>
  </c:chart>
  <c:spPr>
    <a:solidFill>
      <a:schemeClr val="bg1">
        <a:lumMod val="95000"/>
      </a:schemeClr>
    </a:solidFill>
  </c:spPr>
  <c:txPr>
    <a:bodyPr/>
    <a:lstStyle/>
    <a:p>
      <a:pPr>
        <a:defRPr sz="1800"/>
      </a:pPr>
      <a:endParaRPr lang="es-E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100"/>
      <c:rAngAx val="0"/>
      <c:perspective val="0"/>
    </c:view3D>
    <c:floor>
      <c:thickness val="0"/>
    </c:floor>
    <c:sideWall>
      <c:thickness val="0"/>
      <c:spPr>
        <a:solidFill>
          <a:schemeClr val="bg1">
            <a:lumMod val="75000"/>
          </a:schemeClr>
        </a:solidFill>
      </c:spPr>
    </c:sideWall>
    <c:backWall>
      <c:thickness val="0"/>
      <c:spPr>
        <a:solidFill>
          <a:schemeClr val="bg1">
            <a:lumMod val="75000"/>
          </a:schemeClr>
        </a:solidFill>
        <a:effectLst>
          <a:outerShdw blurRad="50800" dist="50800" dir="5400000" algn="ctr" rotWithShape="0">
            <a:schemeClr val="bg1">
              <a:lumMod val="75000"/>
            </a:schemeClr>
          </a:outerShdw>
        </a:effectLst>
      </c:spPr>
    </c:backWall>
    <c:plotArea>
      <c:layout>
        <c:manualLayout>
          <c:layoutTarget val="inner"/>
          <c:xMode val="edge"/>
          <c:yMode val="edge"/>
          <c:x val="5.6251336638475716E-2"/>
          <c:y val="5.8891555233659666E-2"/>
          <c:w val="0.83883610798650166"/>
          <c:h val="0.756298955277649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accent4">
                  <a:lumMod val="60000"/>
                  <a:lumOff val="40000"/>
                </a:schemeClr>
              </a:solidFill>
            </a:ln>
            <a:effectLst>
              <a:innerShdw blurRad="63500" dist="50800" dir="13500000">
                <a:prstClr val="black">
                  <a:alpha val="43000"/>
                </a:prstClr>
              </a:innerShdw>
            </a:effectLst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10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Hoja1!$A$2:$A$7</c:f>
              <c:strCache>
                <c:ptCount val="6"/>
                <c:pt idx="0">
                  <c:v>&lt; 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50-60</c:v>
                </c:pt>
                <c:pt idx="5">
                  <c:v>&gt; 60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3.85</c:v>
                </c:pt>
                <c:pt idx="1">
                  <c:v>22.42</c:v>
                </c:pt>
                <c:pt idx="2">
                  <c:v>25.57</c:v>
                </c:pt>
                <c:pt idx="3">
                  <c:v>26.97</c:v>
                </c:pt>
                <c:pt idx="4">
                  <c:v>15.76</c:v>
                </c:pt>
                <c:pt idx="5">
                  <c:v>5.43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10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Hoja1!$A$2:$A$7</c:f>
              <c:strCache>
                <c:ptCount val="6"/>
                <c:pt idx="0">
                  <c:v>&lt; 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50-60</c:v>
                </c:pt>
                <c:pt idx="5">
                  <c:v>&gt; 60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5.03</c:v>
                </c:pt>
                <c:pt idx="1">
                  <c:v>32.46</c:v>
                </c:pt>
                <c:pt idx="2">
                  <c:v>31.74</c:v>
                </c:pt>
                <c:pt idx="3">
                  <c:v>19.829999999999998</c:v>
                </c:pt>
                <c:pt idx="4">
                  <c:v>8.58</c:v>
                </c:pt>
                <c:pt idx="5">
                  <c:v>2.36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83"/>
        <c:shape val="cylinder"/>
        <c:axId val="483029536"/>
        <c:axId val="483029928"/>
        <c:axId val="0"/>
      </c:bar3DChart>
      <c:catAx>
        <c:axId val="48302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s-ES"/>
          </a:p>
        </c:txPr>
        <c:crossAx val="483029928"/>
        <c:crosses val="autoZero"/>
        <c:auto val="1"/>
        <c:lblAlgn val="ctr"/>
        <c:lblOffset val="100"/>
        <c:noMultiLvlLbl val="0"/>
      </c:catAx>
      <c:valAx>
        <c:axId val="483029928"/>
        <c:scaling>
          <c:orientation val="minMax"/>
          <c:max val="50"/>
          <c:min val="0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85000"/>
                </a:schemeClr>
              </a:outerShdw>
            </a:effectLst>
          </c:spPr>
        </c:majorGridlines>
        <c:numFmt formatCode="General\%" sourceLinked="0"/>
        <c:majorTickMark val="out"/>
        <c:minorTickMark val="none"/>
        <c:tickLblPos val="low"/>
        <c:txPr>
          <a:bodyPr/>
          <a:lstStyle/>
          <a:p>
            <a:pPr>
              <a:defRPr sz="1200"/>
            </a:pPr>
            <a:endParaRPr lang="es-ES"/>
          </a:p>
        </c:txPr>
        <c:crossAx val="483029536"/>
        <c:crosses val="autoZero"/>
        <c:crossBetween val="between"/>
        <c:majorUnit val="10"/>
        <c:minorUnit val="1"/>
      </c:valAx>
      <c:spPr>
        <a:noFill/>
        <a:ln w="25402">
          <a:noFill/>
        </a:ln>
      </c:spPr>
    </c:plotArea>
    <c:legend>
      <c:legendPos val="r"/>
      <c:overlay val="0"/>
      <c:txPr>
        <a:bodyPr/>
        <a:lstStyle/>
        <a:p>
          <a:pPr>
            <a:defRPr sz="1200"/>
          </a:pPr>
          <a:endParaRPr lang="es-ES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</c:spPr>
  <c:txPr>
    <a:bodyPr/>
    <a:lstStyle/>
    <a:p>
      <a:pPr>
        <a:defRPr sz="1800"/>
      </a:pPr>
      <a:endParaRPr lang="es-E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100"/>
      <c:rAngAx val="0"/>
      <c:perspective val="0"/>
    </c:view3D>
    <c:floor>
      <c:thickness val="0"/>
    </c:floor>
    <c:sideWall>
      <c:thickness val="0"/>
      <c:spPr>
        <a:solidFill>
          <a:schemeClr val="bg1">
            <a:lumMod val="75000"/>
          </a:schemeClr>
        </a:solidFill>
      </c:spPr>
    </c:sideWall>
    <c:backWall>
      <c:thickness val="0"/>
      <c:spPr>
        <a:solidFill>
          <a:schemeClr val="bg1">
            <a:lumMod val="75000"/>
          </a:schemeClr>
        </a:solidFill>
        <a:effectLst>
          <a:outerShdw blurRad="50800" dist="50800" dir="5400000" algn="ctr" rotWithShape="0">
            <a:schemeClr val="bg1">
              <a:lumMod val="75000"/>
            </a:schemeClr>
          </a:outerShdw>
        </a:effectLst>
      </c:spPr>
    </c:backWall>
    <c:plotArea>
      <c:layout>
        <c:manualLayout>
          <c:layoutTarget val="inner"/>
          <c:xMode val="edge"/>
          <c:yMode val="edge"/>
          <c:x val="5.6251336638475723E-2"/>
          <c:y val="5.8891555233659666E-2"/>
          <c:w val="0.77026465441819836"/>
          <c:h val="0.77325250859888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accent4">
                  <a:lumMod val="60000"/>
                  <a:lumOff val="40000"/>
                </a:schemeClr>
              </a:solidFill>
            </a:ln>
            <a:effectLst>
              <a:innerShdw blurRad="63500" dist="50800" dir="13500000">
                <a:prstClr val="black">
                  <a:alpha val="43000"/>
                </a:prstClr>
              </a:innerShdw>
            </a:effectLst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10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Hoja1!$A$2:$A$10</c:f>
              <c:strCache>
                <c:ptCount val="9"/>
                <c:pt idx="0">
                  <c:v>Cocaína</c:v>
                </c:pt>
                <c:pt idx="1">
                  <c:v>Alcohol</c:v>
                </c:pt>
                <c:pt idx="2">
                  <c:v>Cannabis</c:v>
                </c:pt>
                <c:pt idx="3">
                  <c:v>Anfetamina</c:v>
                </c:pt>
                <c:pt idx="4">
                  <c:v>Ludopatía*</c:v>
                </c:pt>
                <c:pt idx="5">
                  <c:v>Ketamina</c:v>
                </c:pt>
                <c:pt idx="6">
                  <c:v>Benzodiazepinas</c:v>
                </c:pt>
                <c:pt idx="7">
                  <c:v>Heroína </c:v>
                </c:pt>
                <c:pt idx="8">
                  <c:v>GBH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9D44780-F5E4-4B81-808E-595A81810906}" type="VALUE">
                      <a:rPr lang="en-US"/>
                      <a:pPr/>
                      <a:t>[VALOR]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B0BE0FF-538E-4F9C-AC7A-33FD6BA2F156}" type="VALUE">
                      <a:rPr lang="en-US"/>
                      <a:pPr/>
                      <a:t>[VALOR]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10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Hoja1!$A$2:$A$10</c:f>
              <c:strCache>
                <c:ptCount val="9"/>
                <c:pt idx="0">
                  <c:v>Cocaína</c:v>
                </c:pt>
                <c:pt idx="1">
                  <c:v>Alcohol</c:v>
                </c:pt>
                <c:pt idx="2">
                  <c:v>Cannabis</c:v>
                </c:pt>
                <c:pt idx="3">
                  <c:v>Anfetamina</c:v>
                </c:pt>
                <c:pt idx="4">
                  <c:v>Ludopatía*</c:v>
                </c:pt>
                <c:pt idx="5">
                  <c:v>Ketamina</c:v>
                </c:pt>
                <c:pt idx="6">
                  <c:v>Benzodiazepinas</c:v>
                </c:pt>
                <c:pt idx="7">
                  <c:v>Heroína </c:v>
                </c:pt>
                <c:pt idx="8">
                  <c:v>GBH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37</c:v>
                </c:pt>
                <c:pt idx="1">
                  <c:v>28.6</c:v>
                </c:pt>
                <c:pt idx="2">
                  <c:v>16</c:v>
                </c:pt>
                <c:pt idx="3">
                  <c:v>7.6</c:v>
                </c:pt>
                <c:pt idx="4">
                  <c:v>5</c:v>
                </c:pt>
                <c:pt idx="5">
                  <c:v>2.5</c:v>
                </c:pt>
                <c:pt idx="6">
                  <c:v>1.7</c:v>
                </c:pt>
                <c:pt idx="7">
                  <c:v>0.8</c:v>
                </c:pt>
                <c:pt idx="8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83"/>
        <c:shape val="cylinder"/>
        <c:axId val="408012608"/>
        <c:axId val="408013000"/>
        <c:axId val="0"/>
      </c:bar3DChart>
      <c:catAx>
        <c:axId val="40801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s-ES"/>
          </a:p>
        </c:txPr>
        <c:crossAx val="408013000"/>
        <c:crosses val="autoZero"/>
        <c:auto val="1"/>
        <c:lblAlgn val="ctr"/>
        <c:lblOffset val="100"/>
        <c:noMultiLvlLbl val="0"/>
      </c:catAx>
      <c:valAx>
        <c:axId val="408013000"/>
        <c:scaling>
          <c:orientation val="minMax"/>
          <c:max val="45"/>
          <c:min val="0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85000"/>
                </a:schemeClr>
              </a:outerShdw>
            </a:effectLst>
          </c:spPr>
        </c:majorGridlines>
        <c:numFmt formatCode="General\%" sourceLinked="0"/>
        <c:majorTickMark val="out"/>
        <c:minorTickMark val="none"/>
        <c:tickLblPos val="low"/>
        <c:txPr>
          <a:bodyPr/>
          <a:lstStyle/>
          <a:p>
            <a:pPr>
              <a:defRPr sz="1200"/>
            </a:pPr>
            <a:endParaRPr lang="es-ES"/>
          </a:p>
        </c:txPr>
        <c:crossAx val="408012608"/>
        <c:crosses val="autoZero"/>
        <c:crossBetween val="between"/>
        <c:majorUnit val="10"/>
        <c:minorUnit val="1"/>
      </c:valAx>
      <c:spPr>
        <a:noFill/>
        <a:ln w="25402">
          <a:noFill/>
        </a:ln>
      </c:spPr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sz="1200"/>
          </a:pPr>
          <a:endParaRPr lang="es-ES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</c:spPr>
  <c:txPr>
    <a:bodyPr/>
    <a:lstStyle/>
    <a:p>
      <a:pPr>
        <a:defRPr sz="1800"/>
      </a:pPr>
      <a:endParaRPr lang="es-E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100"/>
      <c:rAngAx val="0"/>
      <c:perspective val="0"/>
    </c:view3D>
    <c:floor>
      <c:thickness val="0"/>
    </c:floor>
    <c:sideWall>
      <c:thickness val="0"/>
      <c:spPr>
        <a:solidFill>
          <a:schemeClr val="bg1">
            <a:lumMod val="75000"/>
          </a:schemeClr>
        </a:solidFill>
      </c:spPr>
    </c:sideWall>
    <c:backWall>
      <c:thickness val="0"/>
      <c:spPr>
        <a:solidFill>
          <a:schemeClr val="bg1">
            <a:lumMod val="75000"/>
          </a:schemeClr>
        </a:solidFill>
        <a:effectLst>
          <a:outerShdw blurRad="50800" dist="50800" dir="5400000" algn="ctr" rotWithShape="0">
            <a:schemeClr val="bg1">
              <a:lumMod val="75000"/>
            </a:schemeClr>
          </a:outerShdw>
        </a:effectLst>
      </c:spPr>
    </c:backWall>
    <c:plotArea>
      <c:layout>
        <c:manualLayout>
          <c:layoutTarget val="inner"/>
          <c:xMode val="edge"/>
          <c:yMode val="edge"/>
          <c:x val="5.6251336638475723E-2"/>
          <c:y val="5.8891555233659666E-2"/>
          <c:w val="0.77026465441819836"/>
          <c:h val="0.77325250859888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accent4">
                  <a:lumMod val="60000"/>
                  <a:lumOff val="40000"/>
                </a:schemeClr>
              </a:solidFill>
            </a:ln>
            <a:effectLst>
              <a:innerShdw blurRad="63500" dist="50800" dir="13500000">
                <a:prstClr val="black">
                  <a:alpha val="43000"/>
                </a:prstClr>
              </a:innerShdw>
            </a:effectLst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10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Hoja1!$A$2:$A$10</c:f>
              <c:strCache>
                <c:ptCount val="9"/>
                <c:pt idx="0">
                  <c:v>Cocaína</c:v>
                </c:pt>
                <c:pt idx="1">
                  <c:v>Alcohol</c:v>
                </c:pt>
                <c:pt idx="2">
                  <c:v>Cannabis</c:v>
                </c:pt>
                <c:pt idx="3">
                  <c:v>Anfetamina</c:v>
                </c:pt>
                <c:pt idx="4">
                  <c:v>Ludopatía *</c:v>
                </c:pt>
                <c:pt idx="5">
                  <c:v>Ketamina</c:v>
                </c:pt>
                <c:pt idx="6">
                  <c:v>Benzodiazepinas</c:v>
                </c:pt>
                <c:pt idx="7">
                  <c:v>Heroína</c:v>
                </c:pt>
                <c:pt idx="8">
                  <c:v>Gbh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16.100000000000001</c:v>
                </c:pt>
                <c:pt idx="1">
                  <c:v>51.6</c:v>
                </c:pt>
                <c:pt idx="2">
                  <c:v>12.9</c:v>
                </c:pt>
                <c:pt idx="3">
                  <c:v>12.9</c:v>
                </c:pt>
                <c:pt idx="4">
                  <c:v>0</c:v>
                </c:pt>
                <c:pt idx="5">
                  <c:v>3.2</c:v>
                </c:pt>
                <c:pt idx="6">
                  <c:v>3.2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10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Hoja1!$A$2:$A$10</c:f>
              <c:strCache>
                <c:ptCount val="9"/>
                <c:pt idx="0">
                  <c:v>Cocaína</c:v>
                </c:pt>
                <c:pt idx="1">
                  <c:v>Alcohol</c:v>
                </c:pt>
                <c:pt idx="2">
                  <c:v>Cannabis</c:v>
                </c:pt>
                <c:pt idx="3">
                  <c:v>Anfetamina</c:v>
                </c:pt>
                <c:pt idx="4">
                  <c:v>Ludopatía *</c:v>
                </c:pt>
                <c:pt idx="5">
                  <c:v>Ketamina</c:v>
                </c:pt>
                <c:pt idx="6">
                  <c:v>Benzodiazepinas</c:v>
                </c:pt>
                <c:pt idx="7">
                  <c:v>Heroína</c:v>
                </c:pt>
                <c:pt idx="8">
                  <c:v>Gbh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44.3</c:v>
                </c:pt>
                <c:pt idx="1">
                  <c:v>20.399999999999999</c:v>
                </c:pt>
                <c:pt idx="2">
                  <c:v>31.31</c:v>
                </c:pt>
                <c:pt idx="3">
                  <c:v>5.7</c:v>
                </c:pt>
                <c:pt idx="4">
                  <c:v>6</c:v>
                </c:pt>
                <c:pt idx="5">
                  <c:v>2.2999999999999998</c:v>
                </c:pt>
                <c:pt idx="6">
                  <c:v>1.1000000000000001</c:v>
                </c:pt>
                <c:pt idx="7">
                  <c:v>1.4</c:v>
                </c:pt>
                <c:pt idx="8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83"/>
        <c:shape val="cylinder"/>
        <c:axId val="408011824"/>
        <c:axId val="408013392"/>
        <c:axId val="0"/>
      </c:bar3DChart>
      <c:catAx>
        <c:axId val="40801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s-ES"/>
          </a:p>
        </c:txPr>
        <c:crossAx val="408013392"/>
        <c:crosses val="autoZero"/>
        <c:auto val="1"/>
        <c:lblAlgn val="ctr"/>
        <c:lblOffset val="100"/>
        <c:noMultiLvlLbl val="0"/>
      </c:catAx>
      <c:valAx>
        <c:axId val="408013392"/>
        <c:scaling>
          <c:orientation val="minMax"/>
          <c:max val="65"/>
          <c:min val="0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85000"/>
                </a:schemeClr>
              </a:outerShdw>
            </a:effectLst>
          </c:spPr>
        </c:majorGridlines>
        <c:numFmt formatCode="General\%" sourceLinked="0"/>
        <c:majorTickMark val="out"/>
        <c:minorTickMark val="none"/>
        <c:tickLblPos val="low"/>
        <c:txPr>
          <a:bodyPr/>
          <a:lstStyle/>
          <a:p>
            <a:pPr>
              <a:defRPr sz="1200"/>
            </a:pPr>
            <a:endParaRPr lang="es-ES"/>
          </a:p>
        </c:txPr>
        <c:crossAx val="408011824"/>
        <c:crosses val="autoZero"/>
        <c:crossBetween val="between"/>
        <c:majorUnit val="10"/>
        <c:minorUnit val="1"/>
      </c:valAx>
      <c:spPr>
        <a:noFill/>
        <a:ln w="25402">
          <a:noFill/>
        </a:ln>
      </c:spPr>
    </c:plotArea>
    <c:legend>
      <c:legendPos val="r"/>
      <c:overlay val="0"/>
      <c:txPr>
        <a:bodyPr/>
        <a:lstStyle/>
        <a:p>
          <a:pPr>
            <a:defRPr sz="1200"/>
          </a:pPr>
          <a:endParaRPr lang="es-ES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</c:spPr>
  <c:txPr>
    <a:bodyPr/>
    <a:lstStyle/>
    <a:p>
      <a:pPr>
        <a:defRPr sz="1800"/>
      </a:pPr>
      <a:endParaRPr lang="es-E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12</cp:revision>
  <dcterms:created xsi:type="dcterms:W3CDTF">2021-02-09T11:19:00Z</dcterms:created>
  <dcterms:modified xsi:type="dcterms:W3CDTF">2021-02-12T10:33:00Z</dcterms:modified>
</cp:coreProperties>
</file>